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F1C" w:rsidRDefault="00204F1C" w:rsidP="00204F1C">
      <w:pPr>
        <w:pStyle w:val="Heading2"/>
        <w:spacing w:before="0" w:beforeAutospacing="0" w:after="0" w:afterAutospacing="0"/>
        <w:jc w:val="center"/>
        <w:rPr>
          <w:rFonts w:eastAsia="Times New Roman"/>
        </w:rPr>
      </w:pPr>
      <w:r>
        <w:rPr>
          <w:rFonts w:eastAsia="Times New Roman"/>
        </w:rPr>
        <w:t>Good Fight of Faith vs Needless Disputes (2)</w:t>
      </w:r>
    </w:p>
    <w:p w:rsidR="00204F1C" w:rsidRDefault="00204F1C" w:rsidP="00204F1C">
      <w:pPr>
        <w:pStyle w:val="HTMLAddress"/>
        <w:jc w:val="center"/>
        <w:rPr>
          <w:rFonts w:eastAsia="Times New Roman"/>
        </w:rPr>
      </w:pPr>
      <w:proofErr w:type="gramStart"/>
      <w:r>
        <w:rPr>
          <w:rFonts w:eastAsia="Times New Roman"/>
        </w:rPr>
        <w:t>by</w:t>
      </w:r>
      <w:proofErr w:type="gramEnd"/>
      <w:r>
        <w:rPr>
          <w:rFonts w:eastAsia="Times New Roman"/>
        </w:rPr>
        <w:t xml:space="preserve"> Harry Osborne</w:t>
      </w:r>
    </w:p>
    <w:p w:rsidR="00204F1C" w:rsidRDefault="00204F1C" w:rsidP="00204F1C">
      <w:pPr>
        <w:rPr>
          <w:rFonts w:eastAsia="Times New Roman"/>
        </w:rPr>
      </w:pPr>
    </w:p>
    <w:p w:rsidR="00204F1C" w:rsidRDefault="00204F1C" w:rsidP="003208CE">
      <w:pPr>
        <w:pStyle w:val="NormalWeb"/>
        <w:spacing w:before="0" w:beforeAutospacing="0" w:after="120" w:afterAutospacing="0" w:line="221" w:lineRule="auto"/>
      </w:pPr>
      <w:r>
        <w:t xml:space="preserve">The same apostle Paul who emphasized the necessity of fighting distinguished between essential battles for truth and needless disputes over mere words and opinions. Differentiating between a good fight and a needless dispute is sometimes difficult, but the difference can be seen when we reduce the conflict to the origin of its fundamental point. In his two letters to Timothy, Paul stated the </w:t>
      </w:r>
      <w:proofErr w:type="spellStart"/>
      <w:r>
        <w:t>pr</w:t>
      </w:r>
      <w:r w:rsidR="000070F2">
        <w:t>inciples</w:t>
      </w:r>
      <w:proofErr w:type="spellEnd"/>
      <w:r w:rsidR="000070F2">
        <w:t xml:space="preserve"> involved</w:t>
      </w:r>
      <w:r>
        <w:t xml:space="preserve">. Notice those principles </w:t>
      </w:r>
      <w:r w:rsidR="003208CE">
        <w:t>affirmed in these two passages:</w:t>
      </w:r>
    </w:p>
    <w:p w:rsidR="00204F1C" w:rsidRDefault="00204F1C" w:rsidP="003208CE">
      <w:pPr>
        <w:spacing w:after="120" w:line="221" w:lineRule="auto"/>
        <w:ind w:left="288" w:right="288"/>
        <w:rPr>
          <w:rFonts w:eastAsia="Times New Roman"/>
        </w:rPr>
      </w:pPr>
      <w:r w:rsidRPr="00204F1C">
        <w:rPr>
          <w:rStyle w:val="text"/>
          <w:i/>
          <w:shd w:val="clear" w:color="auto" w:fill="FFFFFF"/>
        </w:rPr>
        <w:t>If anyone teaches otherwise and does not consent to wholesome words,</w:t>
      </w:r>
      <w:r w:rsidRPr="00204F1C">
        <w:rPr>
          <w:rStyle w:val="apple-converted-space"/>
          <w:i/>
          <w:shd w:val="clear" w:color="auto" w:fill="FFFFFF"/>
        </w:rPr>
        <w:t> </w:t>
      </w:r>
      <w:r w:rsidRPr="00204F1C">
        <w:rPr>
          <w:rStyle w:val="text"/>
          <w:i/>
          <w:iCs/>
          <w:shd w:val="clear" w:color="auto" w:fill="FFFFFF"/>
        </w:rPr>
        <w:t xml:space="preserve">even </w:t>
      </w:r>
      <w:r w:rsidRPr="00204F1C">
        <w:rPr>
          <w:rStyle w:val="text"/>
          <w:i/>
          <w:shd w:val="clear" w:color="auto" w:fill="FFFFFF"/>
        </w:rPr>
        <w:t xml:space="preserve">the words of our Lord Jesus Christ, and to the doctrine which accords with godliness, he is proud, knowing nothing, but is obsessed with disputes and arguments over words, from which come envy, strife, reviling, evil suspicions, useless </w:t>
      </w:r>
      <w:proofErr w:type="spellStart"/>
      <w:r w:rsidRPr="00204F1C">
        <w:rPr>
          <w:rStyle w:val="text"/>
          <w:i/>
          <w:shd w:val="clear" w:color="auto" w:fill="FFFFFF"/>
        </w:rPr>
        <w:t>wranglings</w:t>
      </w:r>
      <w:proofErr w:type="spellEnd"/>
      <w:r w:rsidRPr="00204F1C">
        <w:rPr>
          <w:rStyle w:val="text"/>
          <w:i/>
          <w:shd w:val="clear" w:color="auto" w:fill="FFFFFF"/>
        </w:rPr>
        <w:t xml:space="preserve"> of men of corrupt minds and destitute of the truth, who suppose that godliness is a</w:t>
      </w:r>
      <w:r w:rsidRPr="00204F1C">
        <w:rPr>
          <w:rStyle w:val="apple-converted-space"/>
          <w:i/>
          <w:shd w:val="clear" w:color="auto" w:fill="FFFFFF"/>
        </w:rPr>
        <w:t> </w:t>
      </w:r>
      <w:r w:rsidRPr="00204F1C">
        <w:rPr>
          <w:rStyle w:val="text"/>
          <w:i/>
          <w:iCs/>
          <w:shd w:val="clear" w:color="auto" w:fill="FFFFFF"/>
        </w:rPr>
        <w:t>means of</w:t>
      </w:r>
      <w:r w:rsidRPr="00204F1C">
        <w:rPr>
          <w:rStyle w:val="apple-converted-space"/>
          <w:i/>
          <w:shd w:val="clear" w:color="auto" w:fill="FFFFFF"/>
        </w:rPr>
        <w:t> </w:t>
      </w:r>
      <w:r w:rsidRPr="00204F1C">
        <w:rPr>
          <w:rStyle w:val="text"/>
          <w:i/>
          <w:shd w:val="clear" w:color="auto" w:fill="FFFFFF"/>
        </w:rPr>
        <w:t>gain. From such withdraw yourself</w:t>
      </w:r>
      <w:r w:rsidRPr="00204F1C">
        <w:rPr>
          <w:rFonts w:eastAsia="Times New Roman"/>
        </w:rPr>
        <w:t xml:space="preserve"> </w:t>
      </w:r>
      <w:r>
        <w:rPr>
          <w:rFonts w:eastAsia="Times New Roman"/>
        </w:rPr>
        <w:t xml:space="preserve">(1 Tim. 6:3-5). </w:t>
      </w:r>
    </w:p>
    <w:p w:rsidR="00204F1C" w:rsidRDefault="00D87B52" w:rsidP="003208CE">
      <w:pPr>
        <w:spacing w:after="120" w:line="221" w:lineRule="auto"/>
        <w:ind w:left="288" w:right="288"/>
        <w:rPr>
          <w:rFonts w:eastAsia="Times New Roman"/>
        </w:rPr>
      </w:pPr>
      <w:r w:rsidRPr="00D87B52">
        <w:rPr>
          <w:rStyle w:val="text"/>
          <w:i/>
          <w:shd w:val="clear" w:color="auto" w:fill="FFFFFF"/>
        </w:rPr>
        <w:t>Remind</w:t>
      </w:r>
      <w:r w:rsidRPr="00D87B52">
        <w:rPr>
          <w:rStyle w:val="apple-converted-space"/>
          <w:i/>
          <w:shd w:val="clear" w:color="auto" w:fill="FFFFFF"/>
        </w:rPr>
        <w:t> </w:t>
      </w:r>
      <w:r w:rsidRPr="00D87B52">
        <w:rPr>
          <w:rStyle w:val="text"/>
          <w:i/>
          <w:iCs/>
          <w:shd w:val="clear" w:color="auto" w:fill="FFFFFF"/>
        </w:rPr>
        <w:t>them</w:t>
      </w:r>
      <w:r w:rsidRPr="00D87B52">
        <w:rPr>
          <w:rStyle w:val="apple-converted-space"/>
          <w:i/>
          <w:shd w:val="clear" w:color="auto" w:fill="FFFFFF"/>
        </w:rPr>
        <w:t> </w:t>
      </w:r>
      <w:r w:rsidRPr="00D87B52">
        <w:rPr>
          <w:rStyle w:val="text"/>
          <w:i/>
          <w:shd w:val="clear" w:color="auto" w:fill="FFFFFF"/>
        </w:rPr>
        <w:t>of these things, charging</w:t>
      </w:r>
      <w:r w:rsidRPr="00D87B52">
        <w:rPr>
          <w:rStyle w:val="apple-converted-space"/>
          <w:i/>
          <w:shd w:val="clear" w:color="auto" w:fill="FFFFFF"/>
        </w:rPr>
        <w:t> </w:t>
      </w:r>
      <w:r w:rsidRPr="00D87B52">
        <w:rPr>
          <w:rStyle w:val="text"/>
          <w:i/>
          <w:iCs/>
          <w:shd w:val="clear" w:color="auto" w:fill="FFFFFF"/>
        </w:rPr>
        <w:t>them</w:t>
      </w:r>
      <w:r w:rsidRPr="00D87B52">
        <w:rPr>
          <w:rStyle w:val="apple-converted-space"/>
          <w:i/>
          <w:shd w:val="clear" w:color="auto" w:fill="FFFFFF"/>
        </w:rPr>
        <w:t> </w:t>
      </w:r>
      <w:r w:rsidRPr="00D87B52">
        <w:rPr>
          <w:rStyle w:val="text"/>
          <w:i/>
          <w:shd w:val="clear" w:color="auto" w:fill="FFFFFF"/>
        </w:rPr>
        <w:t>before the Lord not to strive about words to no profit, to the ruin of the hearers. Be diligent to present yourself approved to God, a worker who does not need to be ashamed, rightly dividing the word of truth. But shun profane</w:t>
      </w:r>
      <w:r w:rsidRPr="00D87B52">
        <w:rPr>
          <w:rStyle w:val="apple-converted-space"/>
          <w:i/>
          <w:shd w:val="clear" w:color="auto" w:fill="FFFFFF"/>
        </w:rPr>
        <w:t> </w:t>
      </w:r>
      <w:r w:rsidRPr="00D87B52">
        <w:rPr>
          <w:rStyle w:val="text"/>
          <w:i/>
          <w:iCs/>
          <w:shd w:val="clear" w:color="auto" w:fill="FFFFFF"/>
        </w:rPr>
        <w:t>and</w:t>
      </w:r>
      <w:r w:rsidRPr="00D87B52">
        <w:rPr>
          <w:rStyle w:val="apple-converted-space"/>
          <w:i/>
          <w:shd w:val="clear" w:color="auto" w:fill="FFFFFF"/>
        </w:rPr>
        <w:t> </w:t>
      </w:r>
      <w:r w:rsidRPr="00D87B52">
        <w:rPr>
          <w:rStyle w:val="text"/>
          <w:i/>
          <w:shd w:val="clear" w:color="auto" w:fill="FFFFFF"/>
        </w:rPr>
        <w:t xml:space="preserve">idle babblings, for they will increase to more ungodliness. And their message will spread like cancer. </w:t>
      </w:r>
      <w:proofErr w:type="spellStart"/>
      <w:r w:rsidRPr="00D87B52">
        <w:rPr>
          <w:rStyle w:val="text"/>
          <w:i/>
          <w:shd w:val="clear" w:color="auto" w:fill="FFFFFF"/>
        </w:rPr>
        <w:t>Hymenaeus</w:t>
      </w:r>
      <w:proofErr w:type="spellEnd"/>
      <w:r w:rsidRPr="00D87B52">
        <w:rPr>
          <w:rStyle w:val="text"/>
          <w:i/>
          <w:shd w:val="clear" w:color="auto" w:fill="FFFFFF"/>
        </w:rPr>
        <w:t xml:space="preserve"> and </w:t>
      </w:r>
      <w:proofErr w:type="spellStart"/>
      <w:r w:rsidRPr="00D87B52">
        <w:rPr>
          <w:rStyle w:val="text"/>
          <w:i/>
          <w:shd w:val="clear" w:color="auto" w:fill="FFFFFF"/>
        </w:rPr>
        <w:t>Philetus</w:t>
      </w:r>
      <w:proofErr w:type="spellEnd"/>
      <w:r w:rsidRPr="00D87B52">
        <w:rPr>
          <w:rStyle w:val="text"/>
          <w:i/>
          <w:shd w:val="clear" w:color="auto" w:fill="FFFFFF"/>
        </w:rPr>
        <w:t xml:space="preserve"> are of this sort, who have strayed concerning the truth, saying that the resurrection is already past; and they overthrow the faith of some</w:t>
      </w:r>
      <w:r>
        <w:rPr>
          <w:rFonts w:eastAsia="Times New Roman"/>
        </w:rPr>
        <w:t xml:space="preserve"> </w:t>
      </w:r>
      <w:r w:rsidR="00204F1C">
        <w:rPr>
          <w:rFonts w:eastAsia="Times New Roman"/>
        </w:rPr>
        <w:t xml:space="preserve">(2 Tim. 2:14-18). </w:t>
      </w:r>
    </w:p>
    <w:tbl>
      <w:tblPr>
        <w:tblW w:w="4113" w:type="pct"/>
        <w:tblCellSpacing w:w="15" w:type="dxa"/>
        <w:tblInd w:w="12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690"/>
        <w:gridCol w:w="4681"/>
      </w:tblGrid>
      <w:tr w:rsidR="00C72285" w:rsidTr="00E45E2A">
        <w:trPr>
          <w:tblCellSpacing w:w="15" w:type="dxa"/>
        </w:trPr>
        <w:tc>
          <w:tcPr>
            <w:tcW w:w="2177" w:type="pct"/>
            <w:tcBorders>
              <w:top w:val="outset" w:sz="6" w:space="0" w:color="auto"/>
              <w:left w:val="outset" w:sz="6" w:space="0" w:color="auto"/>
              <w:bottom w:val="outset" w:sz="6" w:space="0" w:color="auto"/>
              <w:right w:val="outset" w:sz="6" w:space="0" w:color="auto"/>
            </w:tcBorders>
            <w:vAlign w:val="center"/>
            <w:hideMark/>
          </w:tcPr>
          <w:p w:rsidR="00204F1C" w:rsidRDefault="00204F1C" w:rsidP="003208CE">
            <w:pPr>
              <w:spacing w:line="204" w:lineRule="auto"/>
              <w:jc w:val="center"/>
              <w:rPr>
                <w:rFonts w:eastAsia="Times New Roman"/>
              </w:rPr>
            </w:pPr>
            <w:r>
              <w:rPr>
                <w:rStyle w:val="Strong"/>
                <w:rFonts w:eastAsia="Times New Roman"/>
              </w:rPr>
              <w:t>Good Fight of Faith</w:t>
            </w:r>
          </w:p>
        </w:tc>
        <w:tc>
          <w:tcPr>
            <w:tcW w:w="2769" w:type="pct"/>
            <w:tcBorders>
              <w:top w:val="outset" w:sz="6" w:space="0" w:color="auto"/>
              <w:left w:val="outset" w:sz="6" w:space="0" w:color="auto"/>
              <w:bottom w:val="outset" w:sz="6" w:space="0" w:color="auto"/>
              <w:right w:val="outset" w:sz="6" w:space="0" w:color="auto"/>
            </w:tcBorders>
            <w:vAlign w:val="center"/>
            <w:hideMark/>
          </w:tcPr>
          <w:p w:rsidR="00204F1C" w:rsidRDefault="00204F1C" w:rsidP="003208CE">
            <w:pPr>
              <w:spacing w:line="204" w:lineRule="auto"/>
              <w:jc w:val="center"/>
              <w:rPr>
                <w:rFonts w:eastAsia="Times New Roman"/>
              </w:rPr>
            </w:pPr>
            <w:r>
              <w:rPr>
                <w:rStyle w:val="Strong"/>
                <w:rFonts w:eastAsia="Times New Roman"/>
              </w:rPr>
              <w:t>Needless Disputes</w:t>
            </w:r>
          </w:p>
        </w:tc>
      </w:tr>
      <w:tr w:rsidR="00C72285" w:rsidTr="00E45E2A">
        <w:trPr>
          <w:tblCellSpacing w:w="15" w:type="dxa"/>
        </w:trPr>
        <w:tc>
          <w:tcPr>
            <w:tcW w:w="2177" w:type="pct"/>
            <w:tcBorders>
              <w:top w:val="outset" w:sz="6" w:space="0" w:color="auto"/>
              <w:left w:val="outset" w:sz="6" w:space="0" w:color="auto"/>
              <w:bottom w:val="outset" w:sz="6" w:space="0" w:color="auto"/>
              <w:right w:val="outset" w:sz="6" w:space="0" w:color="auto"/>
            </w:tcBorders>
            <w:vAlign w:val="center"/>
            <w:hideMark/>
          </w:tcPr>
          <w:p w:rsidR="00204F1C" w:rsidRDefault="00D87B52" w:rsidP="003208CE">
            <w:pPr>
              <w:spacing w:line="204" w:lineRule="auto"/>
              <w:jc w:val="center"/>
              <w:rPr>
                <w:rFonts w:eastAsia="Times New Roman"/>
              </w:rPr>
            </w:pPr>
            <w:r>
              <w:rPr>
                <w:rFonts w:eastAsia="Times New Roman"/>
              </w:rPr>
              <w:t>Wholesome</w:t>
            </w:r>
            <w:r w:rsidR="00204F1C">
              <w:rPr>
                <w:rFonts w:eastAsia="Times New Roman"/>
              </w:rPr>
              <w:t xml:space="preserve"> Words</w:t>
            </w:r>
          </w:p>
        </w:tc>
        <w:tc>
          <w:tcPr>
            <w:tcW w:w="2769" w:type="pct"/>
            <w:tcBorders>
              <w:top w:val="outset" w:sz="6" w:space="0" w:color="auto"/>
              <w:left w:val="outset" w:sz="6" w:space="0" w:color="auto"/>
              <w:bottom w:val="outset" w:sz="6" w:space="0" w:color="auto"/>
              <w:right w:val="outset" w:sz="6" w:space="0" w:color="auto"/>
            </w:tcBorders>
            <w:vAlign w:val="center"/>
            <w:hideMark/>
          </w:tcPr>
          <w:p w:rsidR="00204F1C" w:rsidRDefault="00204F1C" w:rsidP="003208CE">
            <w:pPr>
              <w:spacing w:line="204" w:lineRule="auto"/>
              <w:jc w:val="center"/>
              <w:rPr>
                <w:rFonts w:eastAsia="Times New Roman"/>
              </w:rPr>
            </w:pPr>
            <w:r>
              <w:rPr>
                <w:rFonts w:eastAsia="Times New Roman"/>
              </w:rPr>
              <w:t>Words to No Profit</w:t>
            </w:r>
          </w:p>
        </w:tc>
        <w:bookmarkStart w:id="0" w:name="_GoBack"/>
        <w:bookmarkEnd w:id="0"/>
      </w:tr>
      <w:tr w:rsidR="00C72285" w:rsidTr="00E45E2A">
        <w:trPr>
          <w:tblCellSpacing w:w="15" w:type="dxa"/>
        </w:trPr>
        <w:tc>
          <w:tcPr>
            <w:tcW w:w="2177" w:type="pct"/>
            <w:tcBorders>
              <w:top w:val="outset" w:sz="6" w:space="0" w:color="auto"/>
              <w:left w:val="outset" w:sz="6" w:space="0" w:color="auto"/>
              <w:bottom w:val="outset" w:sz="6" w:space="0" w:color="auto"/>
              <w:right w:val="outset" w:sz="6" w:space="0" w:color="auto"/>
            </w:tcBorders>
            <w:vAlign w:val="center"/>
            <w:hideMark/>
          </w:tcPr>
          <w:p w:rsidR="00204F1C" w:rsidRDefault="00204F1C" w:rsidP="003208CE">
            <w:pPr>
              <w:spacing w:line="204" w:lineRule="auto"/>
              <w:jc w:val="center"/>
              <w:rPr>
                <w:rFonts w:eastAsia="Times New Roman"/>
              </w:rPr>
            </w:pPr>
            <w:r>
              <w:rPr>
                <w:rFonts w:eastAsia="Times New Roman"/>
              </w:rPr>
              <w:t>Words of</w:t>
            </w:r>
            <w:r w:rsidR="00D87B52">
              <w:rPr>
                <w:rFonts w:eastAsia="Times New Roman"/>
              </w:rPr>
              <w:t xml:space="preserve"> Our Lord</w:t>
            </w:r>
            <w:r>
              <w:rPr>
                <w:rFonts w:eastAsia="Times New Roman"/>
              </w:rPr>
              <w:t xml:space="preserve"> Jesus Christ</w:t>
            </w:r>
          </w:p>
        </w:tc>
        <w:tc>
          <w:tcPr>
            <w:tcW w:w="2769" w:type="pct"/>
            <w:tcBorders>
              <w:top w:val="outset" w:sz="6" w:space="0" w:color="auto"/>
              <w:left w:val="outset" w:sz="6" w:space="0" w:color="auto"/>
              <w:bottom w:val="outset" w:sz="6" w:space="0" w:color="auto"/>
              <w:right w:val="outset" w:sz="6" w:space="0" w:color="auto"/>
            </w:tcBorders>
            <w:vAlign w:val="center"/>
            <w:hideMark/>
          </w:tcPr>
          <w:p w:rsidR="00204F1C" w:rsidRDefault="00D87B52" w:rsidP="003208CE">
            <w:pPr>
              <w:spacing w:line="204" w:lineRule="auto"/>
              <w:jc w:val="center"/>
              <w:rPr>
                <w:rFonts w:eastAsia="Times New Roman"/>
              </w:rPr>
            </w:pPr>
            <w:r>
              <w:rPr>
                <w:rFonts w:eastAsia="Times New Roman"/>
              </w:rPr>
              <w:t>Disputes &amp; Arguments over</w:t>
            </w:r>
            <w:r w:rsidR="00204F1C">
              <w:rPr>
                <w:rFonts w:eastAsia="Times New Roman"/>
              </w:rPr>
              <w:t xml:space="preserve"> Words</w:t>
            </w:r>
          </w:p>
        </w:tc>
      </w:tr>
      <w:tr w:rsidR="00C72285" w:rsidTr="00E45E2A">
        <w:trPr>
          <w:tblCellSpacing w:w="15" w:type="dxa"/>
        </w:trPr>
        <w:tc>
          <w:tcPr>
            <w:tcW w:w="2177" w:type="pct"/>
            <w:tcBorders>
              <w:top w:val="outset" w:sz="6" w:space="0" w:color="auto"/>
              <w:left w:val="outset" w:sz="6" w:space="0" w:color="auto"/>
              <w:bottom w:val="outset" w:sz="6" w:space="0" w:color="auto"/>
              <w:right w:val="outset" w:sz="6" w:space="0" w:color="auto"/>
            </w:tcBorders>
            <w:vAlign w:val="center"/>
            <w:hideMark/>
          </w:tcPr>
          <w:p w:rsidR="00204F1C" w:rsidRDefault="00204F1C" w:rsidP="003208CE">
            <w:pPr>
              <w:spacing w:line="204" w:lineRule="auto"/>
              <w:jc w:val="center"/>
              <w:rPr>
                <w:rFonts w:eastAsia="Times New Roman"/>
              </w:rPr>
            </w:pPr>
            <w:r>
              <w:rPr>
                <w:rFonts w:eastAsia="Times New Roman"/>
              </w:rPr>
              <w:t>Doctrine</w:t>
            </w:r>
          </w:p>
        </w:tc>
        <w:tc>
          <w:tcPr>
            <w:tcW w:w="2769" w:type="pct"/>
            <w:tcBorders>
              <w:top w:val="outset" w:sz="6" w:space="0" w:color="auto"/>
              <w:left w:val="outset" w:sz="6" w:space="0" w:color="auto"/>
              <w:bottom w:val="outset" w:sz="6" w:space="0" w:color="auto"/>
              <w:right w:val="outset" w:sz="6" w:space="0" w:color="auto"/>
            </w:tcBorders>
            <w:vAlign w:val="center"/>
            <w:hideMark/>
          </w:tcPr>
          <w:p w:rsidR="00204F1C" w:rsidRDefault="00D87B52" w:rsidP="003208CE">
            <w:pPr>
              <w:spacing w:line="204" w:lineRule="auto"/>
              <w:jc w:val="center"/>
              <w:rPr>
                <w:rFonts w:eastAsia="Times New Roman"/>
              </w:rPr>
            </w:pPr>
            <w:r>
              <w:rPr>
                <w:rFonts w:eastAsia="Times New Roman"/>
              </w:rPr>
              <w:t>Profane &amp; Idle Babblings</w:t>
            </w:r>
          </w:p>
        </w:tc>
      </w:tr>
      <w:tr w:rsidR="00C72285" w:rsidTr="00E45E2A">
        <w:trPr>
          <w:tblCellSpacing w:w="15" w:type="dxa"/>
        </w:trPr>
        <w:tc>
          <w:tcPr>
            <w:tcW w:w="2177" w:type="pct"/>
            <w:tcBorders>
              <w:top w:val="outset" w:sz="6" w:space="0" w:color="auto"/>
              <w:left w:val="outset" w:sz="6" w:space="0" w:color="auto"/>
              <w:bottom w:val="outset" w:sz="6" w:space="0" w:color="auto"/>
              <w:right w:val="outset" w:sz="6" w:space="0" w:color="auto"/>
            </w:tcBorders>
            <w:vAlign w:val="center"/>
            <w:hideMark/>
          </w:tcPr>
          <w:p w:rsidR="00204F1C" w:rsidRDefault="00204F1C" w:rsidP="003208CE">
            <w:pPr>
              <w:spacing w:line="204" w:lineRule="auto"/>
              <w:jc w:val="center"/>
              <w:rPr>
                <w:rFonts w:eastAsia="Times New Roman"/>
              </w:rPr>
            </w:pPr>
            <w:r>
              <w:rPr>
                <w:rFonts w:eastAsia="Times New Roman"/>
              </w:rPr>
              <w:t>According to Godliness</w:t>
            </w:r>
          </w:p>
        </w:tc>
        <w:tc>
          <w:tcPr>
            <w:tcW w:w="2769" w:type="pct"/>
            <w:tcBorders>
              <w:top w:val="outset" w:sz="6" w:space="0" w:color="auto"/>
              <w:left w:val="outset" w:sz="6" w:space="0" w:color="auto"/>
              <w:bottom w:val="outset" w:sz="6" w:space="0" w:color="auto"/>
              <w:right w:val="outset" w:sz="6" w:space="0" w:color="auto"/>
            </w:tcBorders>
            <w:vAlign w:val="center"/>
            <w:hideMark/>
          </w:tcPr>
          <w:p w:rsidR="00204F1C" w:rsidRDefault="00D87B52" w:rsidP="003208CE">
            <w:pPr>
              <w:spacing w:line="204" w:lineRule="auto"/>
              <w:jc w:val="center"/>
              <w:rPr>
                <w:rFonts w:eastAsia="Times New Roman"/>
              </w:rPr>
            </w:pPr>
            <w:r>
              <w:rPr>
                <w:rFonts w:eastAsia="Times New Roman"/>
              </w:rPr>
              <w:t>Cause the Ruin of the</w:t>
            </w:r>
            <w:r w:rsidR="00204F1C">
              <w:rPr>
                <w:rFonts w:eastAsia="Times New Roman"/>
              </w:rPr>
              <w:t xml:space="preserve"> Hearers</w:t>
            </w:r>
          </w:p>
        </w:tc>
      </w:tr>
      <w:tr w:rsidR="00C72285" w:rsidTr="00E45E2A">
        <w:trPr>
          <w:tblCellSpacing w:w="15" w:type="dxa"/>
        </w:trPr>
        <w:tc>
          <w:tcPr>
            <w:tcW w:w="2177" w:type="pct"/>
            <w:tcBorders>
              <w:top w:val="outset" w:sz="6" w:space="0" w:color="auto"/>
              <w:left w:val="outset" w:sz="6" w:space="0" w:color="auto"/>
              <w:bottom w:val="outset" w:sz="6" w:space="0" w:color="auto"/>
              <w:right w:val="outset" w:sz="6" w:space="0" w:color="auto"/>
            </w:tcBorders>
            <w:vAlign w:val="center"/>
            <w:hideMark/>
          </w:tcPr>
          <w:p w:rsidR="00204F1C" w:rsidRDefault="00D87B52" w:rsidP="003208CE">
            <w:pPr>
              <w:spacing w:line="204" w:lineRule="auto"/>
              <w:jc w:val="center"/>
              <w:rPr>
                <w:rFonts w:eastAsia="Times New Roman"/>
              </w:rPr>
            </w:pPr>
            <w:r>
              <w:rPr>
                <w:rFonts w:eastAsia="Times New Roman"/>
              </w:rPr>
              <w:t>Word</w:t>
            </w:r>
            <w:r w:rsidR="00204F1C">
              <w:rPr>
                <w:rFonts w:eastAsia="Times New Roman"/>
              </w:rPr>
              <w:t xml:space="preserve"> of Truth</w:t>
            </w:r>
          </w:p>
        </w:tc>
        <w:tc>
          <w:tcPr>
            <w:tcW w:w="2769" w:type="pct"/>
            <w:tcBorders>
              <w:top w:val="outset" w:sz="6" w:space="0" w:color="auto"/>
              <w:left w:val="outset" w:sz="6" w:space="0" w:color="auto"/>
              <w:bottom w:val="outset" w:sz="6" w:space="0" w:color="auto"/>
              <w:right w:val="outset" w:sz="6" w:space="0" w:color="auto"/>
            </w:tcBorders>
            <w:vAlign w:val="center"/>
            <w:hideMark/>
          </w:tcPr>
          <w:p w:rsidR="00204F1C" w:rsidRDefault="00D87B52" w:rsidP="003208CE">
            <w:pPr>
              <w:spacing w:line="204" w:lineRule="auto"/>
              <w:jc w:val="center"/>
              <w:rPr>
                <w:rFonts w:eastAsia="Times New Roman"/>
              </w:rPr>
            </w:pPr>
            <w:r>
              <w:rPr>
                <w:rFonts w:eastAsia="Times New Roman"/>
              </w:rPr>
              <w:t xml:space="preserve">Useless </w:t>
            </w:r>
            <w:proofErr w:type="spellStart"/>
            <w:r w:rsidR="00204F1C">
              <w:rPr>
                <w:rFonts w:eastAsia="Times New Roman"/>
              </w:rPr>
              <w:t>Wranglings</w:t>
            </w:r>
            <w:proofErr w:type="spellEnd"/>
            <w:r w:rsidR="00204F1C">
              <w:rPr>
                <w:rFonts w:eastAsia="Times New Roman"/>
              </w:rPr>
              <w:t xml:space="preserve"> of Men</w:t>
            </w:r>
          </w:p>
        </w:tc>
      </w:tr>
      <w:tr w:rsidR="00C72285" w:rsidTr="00E45E2A">
        <w:trPr>
          <w:tblCellSpacing w:w="15" w:type="dxa"/>
        </w:trPr>
        <w:tc>
          <w:tcPr>
            <w:tcW w:w="2177" w:type="pct"/>
            <w:tcBorders>
              <w:top w:val="outset" w:sz="6" w:space="0" w:color="auto"/>
              <w:left w:val="outset" w:sz="6" w:space="0" w:color="auto"/>
              <w:bottom w:val="outset" w:sz="6" w:space="0" w:color="auto"/>
              <w:right w:val="outset" w:sz="6" w:space="0" w:color="auto"/>
            </w:tcBorders>
            <w:vAlign w:val="center"/>
            <w:hideMark/>
          </w:tcPr>
          <w:p w:rsidR="00204F1C" w:rsidRDefault="00204F1C" w:rsidP="003208CE">
            <w:pPr>
              <w:spacing w:line="204" w:lineRule="auto"/>
              <w:jc w:val="center"/>
              <w:rPr>
                <w:rFonts w:eastAsia="Times New Roman"/>
              </w:rPr>
            </w:pPr>
            <w:r>
              <w:rPr>
                <w:rFonts w:eastAsia="Times New Roman"/>
              </w:rPr>
              <w:t>Approved of God</w:t>
            </w:r>
          </w:p>
        </w:tc>
        <w:tc>
          <w:tcPr>
            <w:tcW w:w="2769" w:type="pct"/>
            <w:tcBorders>
              <w:top w:val="outset" w:sz="6" w:space="0" w:color="auto"/>
              <w:left w:val="outset" w:sz="6" w:space="0" w:color="auto"/>
              <w:bottom w:val="outset" w:sz="6" w:space="0" w:color="auto"/>
              <w:right w:val="outset" w:sz="6" w:space="0" w:color="auto"/>
            </w:tcBorders>
            <w:vAlign w:val="center"/>
            <w:hideMark/>
          </w:tcPr>
          <w:p w:rsidR="00204F1C" w:rsidRDefault="00C72285" w:rsidP="003208CE">
            <w:pPr>
              <w:spacing w:line="204" w:lineRule="auto"/>
              <w:jc w:val="center"/>
              <w:rPr>
                <w:rFonts w:eastAsia="Times New Roman"/>
              </w:rPr>
            </w:pPr>
            <w:r>
              <w:rPr>
                <w:rFonts w:eastAsia="Times New Roman"/>
              </w:rPr>
              <w:t xml:space="preserve">Cause </w:t>
            </w:r>
            <w:r w:rsidR="00D87B52">
              <w:rPr>
                <w:rFonts w:eastAsia="Times New Roman"/>
              </w:rPr>
              <w:t>Envy, Strife, Reviling, Evil Suspicions</w:t>
            </w:r>
          </w:p>
        </w:tc>
      </w:tr>
    </w:tbl>
    <w:p w:rsidR="00C72285" w:rsidRDefault="00204F1C" w:rsidP="003208CE">
      <w:pPr>
        <w:spacing w:after="120" w:line="221" w:lineRule="auto"/>
      </w:pPr>
      <w:r>
        <w:rPr>
          <w:rFonts w:eastAsia="Times New Roman"/>
        </w:rPr>
        <w:br/>
      </w:r>
      <w:r>
        <w:t xml:space="preserve">At the core of some conflicts, </w:t>
      </w:r>
      <w:r w:rsidR="00C72285">
        <w:t>we see a fight based upon "wholesome</w:t>
      </w:r>
      <w:r>
        <w:t xml:space="preserve"> words, even the words of our Lord Jesus Christ," while other conflicts are disputes over "words to no profit." Some issues inv</w:t>
      </w:r>
      <w:r w:rsidR="00C72285">
        <w:t xml:space="preserve">olve doctrinal principles </w:t>
      </w:r>
      <w:r>
        <w:t>affect</w:t>
      </w:r>
      <w:r w:rsidR="00C72285">
        <w:t>ing</w:t>
      </w:r>
      <w:r>
        <w:t xml:space="preserve"> godliness, but some issues </w:t>
      </w:r>
      <w:r w:rsidR="00C72285">
        <w:t>are based on opinions or judgments that</w:t>
      </w:r>
      <w:r>
        <w:t xml:space="preserve"> only subvert hearers if the opinions are bound on them. While God approves the teaching and practice of "words of truth" foun</w:t>
      </w:r>
      <w:r w:rsidR="00C72285">
        <w:t>d in divine revelation, He hate</w:t>
      </w:r>
      <w:r>
        <w:t xml:space="preserve">s "envy, </w:t>
      </w:r>
      <w:r w:rsidR="00C72285">
        <w:t>strife, railings, evil suspicion</w:t>
      </w:r>
      <w:r>
        <w:t xml:space="preserve">s, </w:t>
      </w:r>
      <w:proofErr w:type="spellStart"/>
      <w:proofErr w:type="gramStart"/>
      <w:r>
        <w:t>wranglings</w:t>
      </w:r>
      <w:proofErr w:type="spellEnd"/>
      <w:proofErr w:type="gramEnd"/>
      <w:r>
        <w:t xml:space="preserve"> of </w:t>
      </w:r>
      <w:r w:rsidR="00C72285">
        <w:t>men corrupted in mind and destitute</w:t>
      </w:r>
      <w:r>
        <w:t xml:space="preserve"> of the truth." Let us be sure of the nature of the fight before we engage in it. One who decries all efforts to defend and fight for the truth in honorable controversy has surely replaced the banner of the cross with a white f</w:t>
      </w:r>
      <w:r w:rsidR="00C72285">
        <w:t>lag of surrender. H</w:t>
      </w:r>
      <w:r>
        <w:t>e stands condemned. However, equally condemned is the one who elevates his opinions and hobbies as the rallying point for needless battl</w:t>
      </w:r>
      <w:r w:rsidR="00C72285">
        <w:t>e, seeking to</w:t>
      </w:r>
      <w:r>
        <w:t xml:space="preserve"> impose his judgments as binding. He sees every difference as a call to battle. The extremes of viewing either </w:t>
      </w:r>
      <w:r>
        <w:rPr>
          <w:rStyle w:val="Strong"/>
        </w:rPr>
        <w:t>no cause</w:t>
      </w:r>
      <w:r>
        <w:t xml:space="preserve"> or </w:t>
      </w:r>
      <w:r>
        <w:rPr>
          <w:rStyle w:val="Strong"/>
        </w:rPr>
        <w:t>every cause</w:t>
      </w:r>
      <w:r>
        <w:t xml:space="preserve"> as wor</w:t>
      </w:r>
      <w:r w:rsidR="00C72285">
        <w:t>thy of conflict are both wrong.</w:t>
      </w:r>
    </w:p>
    <w:p w:rsidR="00204F1C" w:rsidRPr="00C72285" w:rsidRDefault="00204F1C" w:rsidP="003208CE">
      <w:pPr>
        <w:spacing w:after="120" w:line="221" w:lineRule="auto"/>
      </w:pPr>
      <w:r>
        <w:rPr>
          <w:rFonts w:eastAsia="Times New Roman"/>
        </w:rPr>
        <w:t>What principles help us to distinguish between good fights of the faith and needless disputes over opinions?</w:t>
      </w:r>
      <w:r w:rsidR="00C72285">
        <w:rPr>
          <w:rFonts w:eastAsia="Times New Roman"/>
        </w:rPr>
        <w:t xml:space="preserve"> Clearly, if we </w:t>
      </w:r>
      <w:r>
        <w:rPr>
          <w:rFonts w:eastAsia="Times New Roman"/>
        </w:rPr>
        <w:t>correctly recognized every issue as involving doctrine or opinion, we would have no problem in discerning when to fight. Whi</w:t>
      </w:r>
      <w:r w:rsidR="00285C98">
        <w:rPr>
          <w:rFonts w:eastAsia="Times New Roman"/>
        </w:rPr>
        <w:t>le issues do not come with tags</w:t>
      </w:r>
      <w:r>
        <w:rPr>
          <w:rFonts w:eastAsia="Times New Roman"/>
        </w:rPr>
        <w:t xml:space="preserve"> den</w:t>
      </w:r>
      <w:r w:rsidR="00285C98">
        <w:rPr>
          <w:rFonts w:eastAsia="Times New Roman"/>
        </w:rPr>
        <w:t>oting the category to which each</w:t>
      </w:r>
      <w:r>
        <w:rPr>
          <w:rFonts w:eastAsia="Times New Roman"/>
        </w:rPr>
        <w:t xml:space="preserve"> belong</w:t>
      </w:r>
      <w:r w:rsidR="00285C98">
        <w:rPr>
          <w:rFonts w:eastAsia="Times New Roman"/>
        </w:rPr>
        <w:t xml:space="preserve">s, there are </w:t>
      </w:r>
      <w:r>
        <w:rPr>
          <w:rFonts w:eastAsia="Times New Roman"/>
        </w:rPr>
        <w:t>pri</w:t>
      </w:r>
      <w:r w:rsidR="00285C98">
        <w:rPr>
          <w:rFonts w:eastAsia="Times New Roman"/>
        </w:rPr>
        <w:t>nciples from Scripture to</w:t>
      </w:r>
      <w:r>
        <w:rPr>
          <w:rFonts w:eastAsia="Times New Roman"/>
        </w:rPr>
        <w:t xml:space="preserve"> help us correctly distinguish where they belong. Let us examine a few cases from God's word. </w:t>
      </w:r>
    </w:p>
    <w:p w:rsidR="00204F1C" w:rsidRDefault="00285C98" w:rsidP="003208CE">
      <w:pPr>
        <w:pStyle w:val="NormalWeb"/>
        <w:spacing w:before="0" w:beforeAutospacing="0" w:after="120" w:afterAutospacing="0" w:line="221" w:lineRule="auto"/>
      </w:pPr>
      <w:proofErr w:type="gramStart"/>
      <w:r>
        <w:rPr>
          <w:rStyle w:val="Strong"/>
        </w:rPr>
        <w:lastRenderedPageBreak/>
        <w:t>Differences over Eating</w:t>
      </w:r>
      <w:r w:rsidR="00204F1C">
        <w:rPr>
          <w:rStyle w:val="Strong"/>
        </w:rPr>
        <w:t xml:space="preserve"> Meats.</w:t>
      </w:r>
      <w:proofErr w:type="gramEnd"/>
      <w:r w:rsidR="00204F1C">
        <w:t xml:space="preserve"> First century Christians had differing practices regarding the eating of meats (Rom. 14; 1 Cor. 8 &amp; 10). Not all of these differences were a result of eating meat from types of animals forbidden as unclean under the Mosaic </w:t>
      </w:r>
      <w:proofErr w:type="gramStart"/>
      <w:r w:rsidR="00204F1C">
        <w:t>law</w:t>
      </w:r>
      <w:proofErr w:type="gramEnd"/>
      <w:r w:rsidR="00204F1C">
        <w:t xml:space="preserve">. Prohibitions against eating blood and meat from things strangled had been binding before the law of Moses and continued to be binding under the gospel of Christ (Gen. 9:4; Acts 15:19-21). Many of the Jewish traditions dealt with details of how the slain animal must be bled and how the meat must be washed so as not to eat the blood. Those who sought to serve God could all agree that drinking a cup of </w:t>
      </w:r>
      <w:r>
        <w:t xml:space="preserve">animal’s blood </w:t>
      </w:r>
      <w:r w:rsidR="00204F1C">
        <w:t xml:space="preserve">would have been wrong. They could also agree that this prohibition did not mean it was sinful for one to consume one molecule of blood while eating meat, for that would have made it impossible to eat any meat. </w:t>
      </w:r>
    </w:p>
    <w:p w:rsidR="00204F1C" w:rsidRDefault="00204F1C" w:rsidP="003208CE">
      <w:pPr>
        <w:pStyle w:val="NormalWeb"/>
        <w:spacing w:before="0" w:beforeAutospacing="0" w:after="120" w:afterAutospacing="0" w:line="221" w:lineRule="auto"/>
      </w:pPr>
      <w:r>
        <w:t>The doctrine prohibiting the</w:t>
      </w:r>
      <w:r w:rsidR="00285C98">
        <w:t xml:space="preserve"> eating of blood was a</w:t>
      </w:r>
      <w:r>
        <w:t xml:space="preserve"> necessity for all to obey, but that </w:t>
      </w:r>
      <w:r w:rsidR="00285C98">
        <w:t>doctrine did not specify every detail involved in obeying it</w:t>
      </w:r>
      <w:r>
        <w:t xml:space="preserve"> (i</w:t>
      </w:r>
      <w:r w:rsidR="00285C98">
        <w:t xml:space="preserve">.e. exactly </w:t>
      </w:r>
      <w:r>
        <w:t>how long the</w:t>
      </w:r>
      <w:r w:rsidR="00285C98">
        <w:t xml:space="preserve"> animal was to be bled, how many times must</w:t>
      </w:r>
      <w:r>
        <w:t xml:space="preserve"> the meat be washed, etc.). At that level, there was a </w:t>
      </w:r>
      <w:r>
        <w:rPr>
          <w:rStyle w:val="Strong"/>
        </w:rPr>
        <w:t>generic</w:t>
      </w:r>
      <w:r>
        <w:t xml:space="preserve"> principl</w:t>
      </w:r>
      <w:r w:rsidR="00285C98">
        <w:t xml:space="preserve">e rather than a specific one. To </w:t>
      </w:r>
      <w:r>
        <w:t xml:space="preserve">keep the doctrine, one must make </w:t>
      </w:r>
      <w:r>
        <w:rPr>
          <w:rStyle w:val="Strong"/>
        </w:rPr>
        <w:t>unspecified judgments</w:t>
      </w:r>
      <w:r w:rsidR="00285C98">
        <w:t xml:space="preserve"> to apply it</w:t>
      </w:r>
      <w:r w:rsidR="00441848">
        <w:t>. J</w:t>
      </w:r>
      <w:r w:rsidR="00285C98">
        <w:t>udgments in applying</w:t>
      </w:r>
      <w:r w:rsidR="00441848">
        <w:t xml:space="preserve"> it</w:t>
      </w:r>
      <w:r w:rsidR="00285C98">
        <w:t xml:space="preserve"> </w:t>
      </w:r>
      <w:r>
        <w:t>may vary with different people</w:t>
      </w:r>
      <w:r w:rsidR="00EE19C3">
        <w:t>,</w:t>
      </w:r>
      <w:r>
        <w:t xml:space="preserve"> depending on conscience and other </w:t>
      </w:r>
      <w:r w:rsidR="00441848">
        <w:t>fa</w:t>
      </w:r>
      <w:r w:rsidR="00EE19C3">
        <w:t>ctors, but if all humbly consider and apply</w:t>
      </w:r>
      <w:r w:rsidR="00441848">
        <w:t xml:space="preserve"> this principle, there will be</w:t>
      </w:r>
      <w:r>
        <w:t xml:space="preserve"> no call for battle over differences of this type. </w:t>
      </w:r>
    </w:p>
    <w:p w:rsidR="00204F1C" w:rsidRDefault="00204F1C" w:rsidP="003208CE">
      <w:pPr>
        <w:pStyle w:val="NormalWeb"/>
        <w:spacing w:before="0" w:beforeAutospacing="0" w:after="120" w:afterAutospacing="0" w:line="221" w:lineRule="auto"/>
      </w:pPr>
      <w:r>
        <w:t>The same cou</w:t>
      </w:r>
      <w:r w:rsidR="00EE19C3">
        <w:t>ld be noted for first century Christians who sought</w:t>
      </w:r>
      <w:r>
        <w:t xml:space="preserve"> </w:t>
      </w:r>
      <w:r w:rsidR="00F55B8E">
        <w:t>to obey the command</w:t>
      </w:r>
      <w:r>
        <w:t xml:space="preserve"> to "flee from idolatry" (1 C</w:t>
      </w:r>
      <w:r w:rsidR="00F55B8E">
        <w:t xml:space="preserve">or. 10:14). All could see that </w:t>
      </w:r>
      <w:r>
        <w:t>ea</w:t>
      </w:r>
      <w:r w:rsidR="00F55B8E">
        <w:t xml:space="preserve">ting meat in worship of </w:t>
      </w:r>
      <w:r>
        <w:t>idol</w:t>
      </w:r>
      <w:r w:rsidR="00F55B8E">
        <w:t>s</w:t>
      </w:r>
      <w:r>
        <w:t xml:space="preserve"> was</w:t>
      </w:r>
      <w:r w:rsidR="00F55B8E">
        <w:t xml:space="preserve"> sinful. Yet, Paul spoke of a few cases when</w:t>
      </w:r>
      <w:r>
        <w:t xml:space="preserve"> one might lawfully </w:t>
      </w:r>
      <w:r w:rsidR="00F55B8E">
        <w:t xml:space="preserve">eat meat that others </w:t>
      </w:r>
      <w:r>
        <w:t>offered to an idol</w:t>
      </w:r>
      <w:r w:rsidR="00F55B8E">
        <w:t xml:space="preserve"> while not participating in that idolatrous worship</w:t>
      </w:r>
      <w:r>
        <w:t xml:space="preserve"> (1 Cor. 8 &amp; 10). How were the brethren to decide</w:t>
      </w:r>
      <w:r w:rsidR="00F55B8E">
        <w:t xml:space="preserve"> what to do in such</w:t>
      </w:r>
      <w:r>
        <w:t xml:space="preserve"> cases? They had to apply the principles of "sound words" in goo</w:t>
      </w:r>
      <w:r w:rsidR="00F55B8E">
        <w:t>d conscience in dealing with each</w:t>
      </w:r>
      <w:r>
        <w:t xml:space="preserve"> situation. Though brethren may have differed in a particular case as to what should be done, they could be united in doctrine as they continued in forbearance of one another in a given application not specified by divine law. Again, fighting in this realm would have been a needless dispute. </w:t>
      </w:r>
    </w:p>
    <w:p w:rsidR="00204F1C" w:rsidRDefault="0088687C" w:rsidP="003208CE">
      <w:pPr>
        <w:pStyle w:val="NormalWeb"/>
        <w:spacing w:before="0" w:beforeAutospacing="0" w:after="120" w:afterAutospacing="0" w:line="221" w:lineRule="auto"/>
      </w:pPr>
      <w:proofErr w:type="gramStart"/>
      <w:r>
        <w:rPr>
          <w:rStyle w:val="Strong"/>
        </w:rPr>
        <w:t>Differences o</w:t>
      </w:r>
      <w:r w:rsidR="00204F1C">
        <w:rPr>
          <w:rStyle w:val="Strong"/>
        </w:rPr>
        <w:t>ver Keepin</w:t>
      </w:r>
      <w:r>
        <w:rPr>
          <w:rStyle w:val="Strong"/>
        </w:rPr>
        <w:t xml:space="preserve">g </w:t>
      </w:r>
      <w:r w:rsidR="00204F1C">
        <w:rPr>
          <w:rStyle w:val="Strong"/>
        </w:rPr>
        <w:t>Days.</w:t>
      </w:r>
      <w:proofErr w:type="gramEnd"/>
      <w:r w:rsidR="00204F1C">
        <w:t xml:space="preserve"> The requirement to give thanks to God for our physic</w:t>
      </w:r>
      <w:r>
        <w:t xml:space="preserve">al blessings </w:t>
      </w:r>
      <w:r w:rsidR="00204F1C">
        <w:t xml:space="preserve">was a necessity under Mosaic law just as it is under the gospel (Deut. 8:10; 1 Tim. 4:4; 1 Thess. 5:18). Jewish Christians in the first century may have lawfully kept the </w:t>
      </w:r>
      <w:r>
        <w:t xml:space="preserve">feast of Tabernacles, </w:t>
      </w:r>
      <w:r w:rsidR="00204F1C">
        <w:t>giving</w:t>
      </w:r>
      <w:r>
        <w:t xml:space="preserve"> thanks</w:t>
      </w:r>
      <w:r w:rsidR="00204F1C">
        <w:t xml:space="preserve"> for the harvest.</w:t>
      </w:r>
      <w:r>
        <w:t xml:space="preserve"> In fact, they may have felt a</w:t>
      </w:r>
      <w:r w:rsidR="00204F1C">
        <w:t xml:space="preserve"> conscientious necessity to do s</w:t>
      </w:r>
      <w:r>
        <w:t>o as a</w:t>
      </w:r>
      <w:r w:rsidR="00204F1C">
        <w:t xml:space="preserve"> requirement of being thankful to God. But</w:t>
      </w:r>
      <w:r>
        <w:t xml:space="preserve"> could they bind that occasion</w:t>
      </w:r>
      <w:r w:rsidR="00204F1C">
        <w:t xml:space="preserve"> of thanksgiving on all?</w:t>
      </w:r>
      <w:r>
        <w:t xml:space="preserve"> No, Romans 14 says they could not! Why? Because giving thanks was doctrinally required, but doing so by keeping the feast of Tabernacles was not. </w:t>
      </w:r>
      <w:r w:rsidR="00204F1C">
        <w:t>Though the doctrine was binding and all could unite in that doctrine, Christians of Jewish and Greek backgrounds could differ in their specific expressions of th</w:t>
      </w:r>
      <w:r>
        <w:t xml:space="preserve">at doctrine. Why? The </w:t>
      </w:r>
      <w:r w:rsidR="00204F1C">
        <w:t xml:space="preserve">differing expressions were </w:t>
      </w:r>
      <w:r w:rsidR="00B427EB">
        <w:rPr>
          <w:rStyle w:val="Strong"/>
          <w:i/>
          <w:iCs/>
        </w:rPr>
        <w:t>not specified</w:t>
      </w:r>
      <w:r w:rsidR="00204F1C">
        <w:rPr>
          <w:rStyle w:val="Strong"/>
          <w:i/>
          <w:iCs/>
        </w:rPr>
        <w:t>, but left in the generic realm</w:t>
      </w:r>
      <w:r w:rsidR="00204F1C">
        <w:t xml:space="preserve">. No battle was needed here. </w:t>
      </w:r>
    </w:p>
    <w:p w:rsidR="00FC6912" w:rsidRDefault="00204F1C" w:rsidP="003208CE">
      <w:pPr>
        <w:pStyle w:val="NormalWeb"/>
        <w:spacing w:before="0" w:beforeAutospacing="0" w:after="120" w:afterAutospacing="0" w:line="221" w:lineRule="auto"/>
      </w:pPr>
      <w:r>
        <w:t>The above differences took place between brethren with strong convictions on the matters involved. They did not agree in ever</w:t>
      </w:r>
      <w:r w:rsidR="00B427EB">
        <w:t xml:space="preserve">y detail </w:t>
      </w:r>
      <w:r>
        <w:t>as they strove to maintain proper hearts before God (Rom. 14:23; etc.). Yet, they</w:t>
      </w:r>
      <w:r w:rsidR="00B427EB">
        <w:t xml:space="preserve"> both believed and obeyed the doctrine involved. They</w:t>
      </w:r>
      <w:r>
        <w:t xml:space="preserve"> were to receive one another and n</w:t>
      </w:r>
      <w:r w:rsidR="00B427EB">
        <w:t>ot engage in conflict over the</w:t>
      </w:r>
      <w:r>
        <w:t xml:space="preserve"> differences </w:t>
      </w:r>
      <w:r w:rsidR="00B427EB">
        <w:t xml:space="preserve">precisely </w:t>
      </w:r>
      <w:r>
        <w:t>because</w:t>
      </w:r>
      <w:r w:rsidR="00B427EB">
        <w:t xml:space="preserve"> God received them both in their differing practices (Rom. 14:3)</w:t>
      </w:r>
      <w:r>
        <w:t>.</w:t>
      </w:r>
      <w:r w:rsidR="00B427EB">
        <w:t xml:space="preserve"> God will not r</w:t>
      </w:r>
      <w:r w:rsidR="004A6DC3">
        <w:t xml:space="preserve">eceive those not abiding in </w:t>
      </w:r>
      <w:r w:rsidR="00B427EB">
        <w:t>doctrine (2 Jn. 9-11).</w:t>
      </w:r>
      <w:r w:rsidR="004A6DC3">
        <w:t xml:space="preserve"> The necessary conclusion is that the gospel makes a distinction between</w:t>
      </w:r>
      <w:r>
        <w:t xml:space="preserve"> differences in mat</w:t>
      </w:r>
      <w:r w:rsidR="004A6DC3">
        <w:t>ters of conscience and matters of doctrine</w:t>
      </w:r>
      <w:r>
        <w:t xml:space="preserve">. </w:t>
      </w:r>
      <w:r w:rsidR="004A6DC3">
        <w:t>Tho</w:t>
      </w:r>
      <w:r w:rsidR="00FC6912">
        <w:t xml:space="preserve">se failing to distinguish between </w:t>
      </w:r>
      <w:r w:rsidR="004A6DC3">
        <w:t>doctrinal difference as in 2 John 9-11 and matters of conscience</w:t>
      </w:r>
      <w:r w:rsidR="00FC6912">
        <w:t xml:space="preserve"> or liberty</w:t>
      </w:r>
      <w:r w:rsidR="004A6DC3">
        <w:t xml:space="preserve"> as in Romans 14</w:t>
      </w:r>
      <w:r w:rsidR="00FC6912">
        <w:t xml:space="preserve"> cannot rightly discern necessary and needless battles. </w:t>
      </w:r>
    </w:p>
    <w:p w:rsidR="00204F1C" w:rsidRPr="00FC6912" w:rsidRDefault="00204F1C" w:rsidP="003208CE">
      <w:pPr>
        <w:pStyle w:val="NormalWeb"/>
        <w:spacing w:before="0" w:beforeAutospacing="0" w:after="120" w:afterAutospacing="0" w:line="221" w:lineRule="auto"/>
      </w:pPr>
      <w:r>
        <w:rPr>
          <w:rFonts w:eastAsia="Times New Roman"/>
        </w:rPr>
        <w:t>Doctrinal error</w:t>
      </w:r>
      <w:r w:rsidR="00FC6912">
        <w:rPr>
          <w:rFonts w:eastAsia="Times New Roman"/>
        </w:rPr>
        <w:t>s</w:t>
      </w:r>
      <w:r>
        <w:rPr>
          <w:rFonts w:eastAsia="Times New Roman"/>
        </w:rPr>
        <w:t xml:space="preserve"> and sinful practices have an inherently corrupting nature. They are based upon the misuse </w:t>
      </w:r>
      <w:r w:rsidR="00FC6912">
        <w:rPr>
          <w:rFonts w:eastAsia="Times New Roman"/>
        </w:rPr>
        <w:t>and abuse of God's word</w:t>
      </w:r>
      <w:r>
        <w:rPr>
          <w:rFonts w:eastAsia="Times New Roman"/>
        </w:rPr>
        <w:t xml:space="preserve"> (2 Pet. 3:16; Gal. 1:6-9). They are like a gangrene (2 Tim. 2:17). They wax worse and worse (2 Tim. 3:13). They corrupt the hearer (Matt. 16:11-12). They corrupt the church (1 Cor. 5; 15</w:t>
      </w:r>
      <w:r w:rsidR="00FC6912">
        <w:rPr>
          <w:rFonts w:eastAsia="Times New Roman"/>
        </w:rPr>
        <w:t xml:space="preserve">:33). They give license to </w:t>
      </w:r>
      <w:r w:rsidR="00400057">
        <w:rPr>
          <w:rFonts w:eastAsia="Times New Roman"/>
        </w:rPr>
        <w:t>ever</w:t>
      </w:r>
      <w:r w:rsidR="00FC6912">
        <w:rPr>
          <w:rFonts w:eastAsia="Times New Roman"/>
        </w:rPr>
        <w:t xml:space="preserve"> more</w:t>
      </w:r>
      <w:r>
        <w:rPr>
          <w:rFonts w:eastAsia="Times New Roman"/>
        </w:rPr>
        <w:t xml:space="preserve"> sin </w:t>
      </w:r>
      <w:r w:rsidR="00FC6912">
        <w:rPr>
          <w:rFonts w:eastAsia="Times New Roman"/>
        </w:rPr>
        <w:t xml:space="preserve">(Rev. 2). </w:t>
      </w:r>
      <w:r>
        <w:rPr>
          <w:rFonts w:eastAsia="Times New Roman"/>
        </w:rPr>
        <w:t>They are</w:t>
      </w:r>
      <w:r w:rsidR="00FC6912">
        <w:rPr>
          <w:rFonts w:eastAsia="Times New Roman"/>
        </w:rPr>
        <w:t xml:space="preserve"> progressive in their</w:t>
      </w:r>
      <w:r>
        <w:rPr>
          <w:rFonts w:eastAsia="Times New Roman"/>
        </w:rPr>
        <w:t xml:space="preserve"> perversion of Scripture and the growing number of sinful manifestations. This progressive nature of corruption is inevitable because doctrinal error and sinfu</w:t>
      </w:r>
      <w:r w:rsidR="00FC6912">
        <w:rPr>
          <w:rFonts w:eastAsia="Times New Roman"/>
        </w:rPr>
        <w:t>l practices inherently conflict with the</w:t>
      </w:r>
      <w:r w:rsidR="00400057">
        <w:rPr>
          <w:rFonts w:eastAsia="Times New Roman"/>
        </w:rPr>
        <w:t xml:space="preserve"> truth. Observing where teachings or practices lead </w:t>
      </w:r>
      <w:r>
        <w:rPr>
          <w:rFonts w:eastAsia="Times New Roman"/>
        </w:rPr>
        <w:t>help</w:t>
      </w:r>
      <w:r w:rsidR="00400057">
        <w:rPr>
          <w:rFonts w:eastAsia="Times New Roman"/>
        </w:rPr>
        <w:t xml:space="preserve">s us distinguish </w:t>
      </w:r>
      <w:r>
        <w:rPr>
          <w:rFonts w:eastAsia="Times New Roman"/>
        </w:rPr>
        <w:t>necessary battle</w:t>
      </w:r>
      <w:r w:rsidR="00400057">
        <w:rPr>
          <w:rFonts w:eastAsia="Times New Roman"/>
        </w:rPr>
        <w:t xml:space="preserve">s and </w:t>
      </w:r>
      <w:r>
        <w:rPr>
          <w:rFonts w:eastAsia="Times New Roman"/>
        </w:rPr>
        <w:t>needless dispute</w:t>
      </w:r>
      <w:r w:rsidR="00400057">
        <w:rPr>
          <w:rFonts w:eastAsia="Times New Roman"/>
        </w:rPr>
        <w:t>s</w:t>
      </w:r>
      <w:r>
        <w:rPr>
          <w:rFonts w:eastAsia="Times New Roman"/>
        </w:rPr>
        <w:t xml:space="preserve">. </w:t>
      </w:r>
    </w:p>
    <w:p w:rsidR="00CF6E46" w:rsidRPr="00204F1C" w:rsidRDefault="00204F1C" w:rsidP="003208CE">
      <w:pPr>
        <w:spacing w:after="120" w:line="221" w:lineRule="auto"/>
        <w:rPr>
          <w:rFonts w:eastAsia="Times New Roman"/>
        </w:rPr>
      </w:pPr>
      <w:r>
        <w:rPr>
          <w:rFonts w:eastAsia="Times New Roman"/>
        </w:rPr>
        <w:t>In Ne</w:t>
      </w:r>
      <w:r w:rsidR="00400057">
        <w:rPr>
          <w:rFonts w:eastAsia="Times New Roman"/>
        </w:rPr>
        <w:t>w Testament times, brethren upho</w:t>
      </w:r>
      <w:r>
        <w:rPr>
          <w:rFonts w:eastAsia="Times New Roman"/>
        </w:rPr>
        <w:t>ld</w:t>
      </w:r>
      <w:r w:rsidR="00400057">
        <w:rPr>
          <w:rFonts w:eastAsia="Times New Roman"/>
        </w:rPr>
        <w:t>ing the same doctrine</w:t>
      </w:r>
      <w:r>
        <w:rPr>
          <w:rFonts w:eastAsia="Times New Roman"/>
        </w:rPr>
        <w:t xml:space="preserve"> di</w:t>
      </w:r>
      <w:r w:rsidR="00400057">
        <w:rPr>
          <w:rFonts w:eastAsia="Times New Roman"/>
        </w:rPr>
        <w:t>ffered in unspecified judgments, but did not manifest any</w:t>
      </w:r>
      <w:r>
        <w:rPr>
          <w:rFonts w:eastAsia="Times New Roman"/>
        </w:rPr>
        <w:t xml:space="preserve"> prog</w:t>
      </w:r>
      <w:r w:rsidR="00464A58">
        <w:rPr>
          <w:rFonts w:eastAsia="Times New Roman"/>
        </w:rPr>
        <w:t>ressive degeneracy</w:t>
      </w:r>
      <w:r>
        <w:rPr>
          <w:rFonts w:eastAsia="Times New Roman"/>
        </w:rPr>
        <w:t>. Why</w:t>
      </w:r>
      <w:r w:rsidR="00400057">
        <w:rPr>
          <w:rFonts w:eastAsia="Times New Roman"/>
        </w:rPr>
        <w:t xml:space="preserve">? The </w:t>
      </w:r>
      <w:r w:rsidR="00464A58">
        <w:rPr>
          <w:rFonts w:eastAsia="Times New Roman"/>
        </w:rPr>
        <w:t xml:space="preserve">variances </w:t>
      </w:r>
      <w:r w:rsidR="00400057">
        <w:rPr>
          <w:rFonts w:eastAsia="Times New Roman"/>
        </w:rPr>
        <w:t>were not doctrinal</w:t>
      </w:r>
      <w:r>
        <w:rPr>
          <w:rFonts w:eastAsia="Times New Roman"/>
        </w:rPr>
        <w:t xml:space="preserve">. When </w:t>
      </w:r>
      <w:r w:rsidR="00464A58">
        <w:rPr>
          <w:rFonts w:eastAsia="Times New Roman"/>
        </w:rPr>
        <w:t>we</w:t>
      </w:r>
      <w:r>
        <w:rPr>
          <w:rFonts w:eastAsia="Times New Roman"/>
        </w:rPr>
        <w:t xml:space="preserve"> hold the doctrine of Christ, but differ concerning judgments over unspecif</w:t>
      </w:r>
      <w:r w:rsidR="00464A58">
        <w:rPr>
          <w:rFonts w:eastAsia="Times New Roman"/>
        </w:rPr>
        <w:t xml:space="preserve">ied </w:t>
      </w:r>
      <w:proofErr w:type="gramStart"/>
      <w:r w:rsidR="00464A58">
        <w:rPr>
          <w:rFonts w:eastAsia="Times New Roman"/>
        </w:rPr>
        <w:t>matters,</w:t>
      </w:r>
      <w:proofErr w:type="gramEnd"/>
      <w:r w:rsidR="00464A58">
        <w:rPr>
          <w:rFonts w:eastAsia="Times New Roman"/>
        </w:rPr>
        <w:t xml:space="preserve"> let us not destroy</w:t>
      </w:r>
      <w:r>
        <w:rPr>
          <w:rFonts w:eastAsia="Times New Roman"/>
        </w:rPr>
        <w:t xml:space="preserve"> the </w:t>
      </w:r>
      <w:r>
        <w:rPr>
          <w:rFonts w:eastAsia="Times New Roman"/>
        </w:rPr>
        <w:lastRenderedPageBreak/>
        <w:t>ranks of the faithful by turning the battle</w:t>
      </w:r>
      <w:r w:rsidR="00464A58">
        <w:rPr>
          <w:rFonts w:eastAsia="Times New Roman"/>
        </w:rPr>
        <w:t xml:space="preserve"> inwar</w:t>
      </w:r>
      <w:r w:rsidR="009A6C95">
        <w:rPr>
          <w:rFonts w:eastAsia="Times New Roman"/>
        </w:rPr>
        <w:t>d. Such differences call on us to</w:t>
      </w:r>
      <w:r>
        <w:rPr>
          <w:rFonts w:eastAsia="Times New Roman"/>
        </w:rPr>
        <w:t xml:space="preserve"> apply the</w:t>
      </w:r>
      <w:r w:rsidR="00464A58">
        <w:rPr>
          <w:rFonts w:eastAsia="Times New Roman"/>
        </w:rPr>
        <w:t xml:space="preserve"> apostolic admonition: "If it is</w:t>
      </w:r>
      <w:r>
        <w:rPr>
          <w:rFonts w:eastAsia="Times New Roman"/>
        </w:rPr>
        <w:t xml:space="preserve"> possible</w:t>
      </w:r>
      <w:r w:rsidRPr="00464A58">
        <w:rPr>
          <w:rFonts w:eastAsia="Times New Roman"/>
        </w:rPr>
        <w:t xml:space="preserve">, </w:t>
      </w:r>
      <w:r w:rsidR="00464A58" w:rsidRPr="00464A58">
        <w:rPr>
          <w:shd w:val="clear" w:color="auto" w:fill="FFFFFF"/>
        </w:rPr>
        <w:t>as much as depends on you, live peaceably with all men</w:t>
      </w:r>
      <w:r>
        <w:rPr>
          <w:rFonts w:eastAsia="Times New Roman"/>
        </w:rPr>
        <w:t xml:space="preserve">" (Rom. 12:18). </w:t>
      </w:r>
    </w:p>
    <w:sectPr w:rsidR="00CF6E46" w:rsidRPr="00204F1C" w:rsidSect="00204F1C">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F1C"/>
    <w:rsid w:val="000070F2"/>
    <w:rsid w:val="001361D0"/>
    <w:rsid w:val="00204F1C"/>
    <w:rsid w:val="00285C98"/>
    <w:rsid w:val="003208CE"/>
    <w:rsid w:val="00400057"/>
    <w:rsid w:val="00441848"/>
    <w:rsid w:val="00464A58"/>
    <w:rsid w:val="004A6DC3"/>
    <w:rsid w:val="00525DDE"/>
    <w:rsid w:val="0088687C"/>
    <w:rsid w:val="009A6C95"/>
    <w:rsid w:val="00B427EB"/>
    <w:rsid w:val="00C72285"/>
    <w:rsid w:val="00CB62BD"/>
    <w:rsid w:val="00CF6E46"/>
    <w:rsid w:val="00D87B52"/>
    <w:rsid w:val="00E45E2A"/>
    <w:rsid w:val="00EE19C3"/>
    <w:rsid w:val="00F55B8E"/>
    <w:rsid w:val="00FC6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F1C"/>
    <w:rPr>
      <w:rFonts w:ascii="Times New Roman" w:eastAsiaTheme="minorEastAsia" w:hAnsi="Times New Roman" w:cs="Times New Roman"/>
      <w:color w:val="000000"/>
      <w:sz w:val="24"/>
      <w:szCs w:val="24"/>
    </w:rPr>
  </w:style>
  <w:style w:type="paragraph" w:styleId="Heading2">
    <w:name w:val="heading 2"/>
    <w:basedOn w:val="Normal"/>
    <w:link w:val="Heading2Char"/>
    <w:uiPriority w:val="9"/>
    <w:qFormat/>
    <w:rsid w:val="00204F1C"/>
    <w:pPr>
      <w:spacing w:before="100" w:beforeAutospacing="1" w:after="100" w:afterAutospacing="1"/>
      <w:outlineLvl w:val="1"/>
    </w:pPr>
    <w:rPr>
      <w:b/>
      <w:bCs/>
      <w:sz w:val="36"/>
      <w:szCs w:val="36"/>
    </w:rPr>
  </w:style>
  <w:style w:type="paragraph" w:styleId="Heading4">
    <w:name w:val="heading 4"/>
    <w:basedOn w:val="Normal"/>
    <w:link w:val="Heading4Char"/>
    <w:uiPriority w:val="9"/>
    <w:qFormat/>
    <w:rsid w:val="00204F1C"/>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04F1C"/>
    <w:rPr>
      <w:rFonts w:ascii="Times New Roman" w:eastAsiaTheme="minorEastAsia" w:hAnsi="Times New Roman" w:cs="Times New Roman"/>
      <w:b/>
      <w:bCs/>
      <w:color w:val="000000"/>
      <w:sz w:val="36"/>
      <w:szCs w:val="36"/>
    </w:rPr>
  </w:style>
  <w:style w:type="character" w:customStyle="1" w:styleId="Heading4Char">
    <w:name w:val="Heading 4 Char"/>
    <w:basedOn w:val="DefaultParagraphFont"/>
    <w:link w:val="Heading4"/>
    <w:uiPriority w:val="9"/>
    <w:rsid w:val="00204F1C"/>
    <w:rPr>
      <w:rFonts w:ascii="Times New Roman" w:eastAsiaTheme="minorEastAsia" w:hAnsi="Times New Roman" w:cs="Times New Roman"/>
      <w:b/>
      <w:bCs/>
      <w:color w:val="000000"/>
      <w:sz w:val="24"/>
      <w:szCs w:val="24"/>
    </w:rPr>
  </w:style>
  <w:style w:type="paragraph" w:styleId="HTMLAddress">
    <w:name w:val="HTML Address"/>
    <w:basedOn w:val="Normal"/>
    <w:link w:val="HTMLAddressChar"/>
    <w:uiPriority w:val="99"/>
    <w:semiHidden/>
    <w:unhideWhenUsed/>
    <w:rsid w:val="00204F1C"/>
    <w:rPr>
      <w:i/>
      <w:iCs/>
    </w:rPr>
  </w:style>
  <w:style w:type="character" w:customStyle="1" w:styleId="HTMLAddressChar">
    <w:name w:val="HTML Address Char"/>
    <w:basedOn w:val="DefaultParagraphFont"/>
    <w:link w:val="HTMLAddress"/>
    <w:uiPriority w:val="99"/>
    <w:semiHidden/>
    <w:rsid w:val="00204F1C"/>
    <w:rPr>
      <w:rFonts w:ascii="Times New Roman" w:eastAsiaTheme="minorEastAsia" w:hAnsi="Times New Roman" w:cs="Times New Roman"/>
      <w:i/>
      <w:iCs/>
      <w:color w:val="000000"/>
      <w:sz w:val="24"/>
      <w:szCs w:val="24"/>
    </w:rPr>
  </w:style>
  <w:style w:type="paragraph" w:styleId="NormalWeb">
    <w:name w:val="Normal (Web)"/>
    <w:basedOn w:val="Normal"/>
    <w:uiPriority w:val="99"/>
    <w:unhideWhenUsed/>
    <w:rsid w:val="00204F1C"/>
    <w:pPr>
      <w:spacing w:before="100" w:beforeAutospacing="1" w:after="100" w:afterAutospacing="1"/>
    </w:pPr>
  </w:style>
  <w:style w:type="character" w:styleId="Emphasis">
    <w:name w:val="Emphasis"/>
    <w:basedOn w:val="DefaultParagraphFont"/>
    <w:uiPriority w:val="20"/>
    <w:qFormat/>
    <w:rsid w:val="00204F1C"/>
    <w:rPr>
      <w:i/>
      <w:iCs/>
    </w:rPr>
  </w:style>
  <w:style w:type="character" w:styleId="Strong">
    <w:name w:val="Strong"/>
    <w:basedOn w:val="DefaultParagraphFont"/>
    <w:uiPriority w:val="22"/>
    <w:qFormat/>
    <w:rsid w:val="00204F1C"/>
    <w:rPr>
      <w:b/>
      <w:bCs/>
    </w:rPr>
  </w:style>
  <w:style w:type="character" w:customStyle="1" w:styleId="text">
    <w:name w:val="text"/>
    <w:basedOn w:val="DefaultParagraphFont"/>
    <w:rsid w:val="00204F1C"/>
  </w:style>
  <w:style w:type="character" w:customStyle="1" w:styleId="apple-converted-space">
    <w:name w:val="apple-converted-space"/>
    <w:basedOn w:val="DefaultParagraphFont"/>
    <w:rsid w:val="00204F1C"/>
  </w:style>
  <w:style w:type="character" w:styleId="Hyperlink">
    <w:name w:val="Hyperlink"/>
    <w:basedOn w:val="DefaultParagraphFont"/>
    <w:uiPriority w:val="99"/>
    <w:semiHidden/>
    <w:unhideWhenUsed/>
    <w:rsid w:val="00204F1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F1C"/>
    <w:rPr>
      <w:rFonts w:ascii="Times New Roman" w:eastAsiaTheme="minorEastAsia" w:hAnsi="Times New Roman" w:cs="Times New Roman"/>
      <w:color w:val="000000"/>
      <w:sz w:val="24"/>
      <w:szCs w:val="24"/>
    </w:rPr>
  </w:style>
  <w:style w:type="paragraph" w:styleId="Heading2">
    <w:name w:val="heading 2"/>
    <w:basedOn w:val="Normal"/>
    <w:link w:val="Heading2Char"/>
    <w:uiPriority w:val="9"/>
    <w:qFormat/>
    <w:rsid w:val="00204F1C"/>
    <w:pPr>
      <w:spacing w:before="100" w:beforeAutospacing="1" w:after="100" w:afterAutospacing="1"/>
      <w:outlineLvl w:val="1"/>
    </w:pPr>
    <w:rPr>
      <w:b/>
      <w:bCs/>
      <w:sz w:val="36"/>
      <w:szCs w:val="36"/>
    </w:rPr>
  </w:style>
  <w:style w:type="paragraph" w:styleId="Heading4">
    <w:name w:val="heading 4"/>
    <w:basedOn w:val="Normal"/>
    <w:link w:val="Heading4Char"/>
    <w:uiPriority w:val="9"/>
    <w:qFormat/>
    <w:rsid w:val="00204F1C"/>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04F1C"/>
    <w:rPr>
      <w:rFonts w:ascii="Times New Roman" w:eastAsiaTheme="minorEastAsia" w:hAnsi="Times New Roman" w:cs="Times New Roman"/>
      <w:b/>
      <w:bCs/>
      <w:color w:val="000000"/>
      <w:sz w:val="36"/>
      <w:szCs w:val="36"/>
    </w:rPr>
  </w:style>
  <w:style w:type="character" w:customStyle="1" w:styleId="Heading4Char">
    <w:name w:val="Heading 4 Char"/>
    <w:basedOn w:val="DefaultParagraphFont"/>
    <w:link w:val="Heading4"/>
    <w:uiPriority w:val="9"/>
    <w:rsid w:val="00204F1C"/>
    <w:rPr>
      <w:rFonts w:ascii="Times New Roman" w:eastAsiaTheme="minorEastAsia" w:hAnsi="Times New Roman" w:cs="Times New Roman"/>
      <w:b/>
      <w:bCs/>
      <w:color w:val="000000"/>
      <w:sz w:val="24"/>
      <w:szCs w:val="24"/>
    </w:rPr>
  </w:style>
  <w:style w:type="paragraph" w:styleId="HTMLAddress">
    <w:name w:val="HTML Address"/>
    <w:basedOn w:val="Normal"/>
    <w:link w:val="HTMLAddressChar"/>
    <w:uiPriority w:val="99"/>
    <w:semiHidden/>
    <w:unhideWhenUsed/>
    <w:rsid w:val="00204F1C"/>
    <w:rPr>
      <w:i/>
      <w:iCs/>
    </w:rPr>
  </w:style>
  <w:style w:type="character" w:customStyle="1" w:styleId="HTMLAddressChar">
    <w:name w:val="HTML Address Char"/>
    <w:basedOn w:val="DefaultParagraphFont"/>
    <w:link w:val="HTMLAddress"/>
    <w:uiPriority w:val="99"/>
    <w:semiHidden/>
    <w:rsid w:val="00204F1C"/>
    <w:rPr>
      <w:rFonts w:ascii="Times New Roman" w:eastAsiaTheme="minorEastAsia" w:hAnsi="Times New Roman" w:cs="Times New Roman"/>
      <w:i/>
      <w:iCs/>
      <w:color w:val="000000"/>
      <w:sz w:val="24"/>
      <w:szCs w:val="24"/>
    </w:rPr>
  </w:style>
  <w:style w:type="paragraph" w:styleId="NormalWeb">
    <w:name w:val="Normal (Web)"/>
    <w:basedOn w:val="Normal"/>
    <w:uiPriority w:val="99"/>
    <w:unhideWhenUsed/>
    <w:rsid w:val="00204F1C"/>
    <w:pPr>
      <w:spacing w:before="100" w:beforeAutospacing="1" w:after="100" w:afterAutospacing="1"/>
    </w:pPr>
  </w:style>
  <w:style w:type="character" w:styleId="Emphasis">
    <w:name w:val="Emphasis"/>
    <w:basedOn w:val="DefaultParagraphFont"/>
    <w:uiPriority w:val="20"/>
    <w:qFormat/>
    <w:rsid w:val="00204F1C"/>
    <w:rPr>
      <w:i/>
      <w:iCs/>
    </w:rPr>
  </w:style>
  <w:style w:type="character" w:styleId="Strong">
    <w:name w:val="Strong"/>
    <w:basedOn w:val="DefaultParagraphFont"/>
    <w:uiPriority w:val="22"/>
    <w:qFormat/>
    <w:rsid w:val="00204F1C"/>
    <w:rPr>
      <w:b/>
      <w:bCs/>
    </w:rPr>
  </w:style>
  <w:style w:type="character" w:customStyle="1" w:styleId="text">
    <w:name w:val="text"/>
    <w:basedOn w:val="DefaultParagraphFont"/>
    <w:rsid w:val="00204F1C"/>
  </w:style>
  <w:style w:type="character" w:customStyle="1" w:styleId="apple-converted-space">
    <w:name w:val="apple-converted-space"/>
    <w:basedOn w:val="DefaultParagraphFont"/>
    <w:rsid w:val="00204F1C"/>
  </w:style>
  <w:style w:type="character" w:styleId="Hyperlink">
    <w:name w:val="Hyperlink"/>
    <w:basedOn w:val="DefaultParagraphFont"/>
    <w:uiPriority w:val="99"/>
    <w:semiHidden/>
    <w:unhideWhenUsed/>
    <w:rsid w:val="00204F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3</Pages>
  <Words>1298</Words>
  <Characters>7399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dc:creator>
  <cp:lastModifiedBy>Harry</cp:lastModifiedBy>
  <cp:revision>3</cp:revision>
  <dcterms:created xsi:type="dcterms:W3CDTF">2015-07-18T17:22:00Z</dcterms:created>
  <dcterms:modified xsi:type="dcterms:W3CDTF">2015-07-23T02:49:00Z</dcterms:modified>
</cp:coreProperties>
</file>